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608"/>
      </w:tblGrid>
      <w:tr w:rsidR="00D00BD2" w:rsidRPr="00141E13" w14:paraId="3786CE51" w14:textId="77777777" w:rsidTr="00847554">
        <w:trPr>
          <w:trHeight w:val="576"/>
        </w:trPr>
        <w:tc>
          <w:tcPr>
            <w:tcW w:w="4968" w:type="dxa"/>
            <w:vAlign w:val="center"/>
          </w:tcPr>
          <w:p w14:paraId="5A64190F" w14:textId="6735F166" w:rsidR="00D00BD2" w:rsidRPr="00847554" w:rsidRDefault="00E13986" w:rsidP="00847554">
            <w:pPr>
              <w:rPr>
                <w:b/>
              </w:rPr>
            </w:pPr>
            <w:r>
              <w:rPr>
                <w:b/>
              </w:rPr>
              <w:t>Guideline</w:t>
            </w:r>
            <w:r w:rsidR="00D00BD2" w:rsidRPr="00847554">
              <w:rPr>
                <w:b/>
              </w:rPr>
              <w:t xml:space="preserve">: </w:t>
            </w:r>
            <w:r w:rsidR="00141E13" w:rsidRPr="00847554">
              <w:rPr>
                <w:b/>
              </w:rPr>
              <w:t>Against Medical Advice</w:t>
            </w:r>
          </w:p>
        </w:tc>
        <w:tc>
          <w:tcPr>
            <w:tcW w:w="4608" w:type="dxa"/>
            <w:vAlign w:val="center"/>
          </w:tcPr>
          <w:p w14:paraId="4D224A3C" w14:textId="4EE85CC6" w:rsidR="00D00BD2" w:rsidRPr="00141E13" w:rsidRDefault="00E13986" w:rsidP="00847554">
            <w:r>
              <w:t>Guideline</w:t>
            </w:r>
            <w:r w:rsidR="00D00BD2" w:rsidRPr="00141E13">
              <w:t xml:space="preserve"> #:</w:t>
            </w:r>
          </w:p>
        </w:tc>
      </w:tr>
      <w:tr w:rsidR="00D00BD2" w:rsidRPr="00141E13" w14:paraId="6075ABBF" w14:textId="77777777" w:rsidTr="00847554">
        <w:trPr>
          <w:trHeight w:val="576"/>
        </w:trPr>
        <w:tc>
          <w:tcPr>
            <w:tcW w:w="4968" w:type="dxa"/>
            <w:vAlign w:val="center"/>
          </w:tcPr>
          <w:p w14:paraId="49A5D031" w14:textId="77777777" w:rsidR="00D00BD2" w:rsidRPr="00141E13" w:rsidRDefault="00D00BD2" w:rsidP="00847554">
            <w:r w:rsidRPr="00141E13">
              <w:t>Effective Date:</w:t>
            </w:r>
          </w:p>
        </w:tc>
        <w:tc>
          <w:tcPr>
            <w:tcW w:w="4608" w:type="dxa"/>
            <w:vAlign w:val="center"/>
          </w:tcPr>
          <w:p w14:paraId="7930CEAD" w14:textId="77777777" w:rsidR="00D00BD2" w:rsidRPr="00141E13" w:rsidRDefault="00D00BD2" w:rsidP="00847554">
            <w:r w:rsidRPr="00141E13">
              <w:t>Review Date: [annually, bi-annually, etc.]</w:t>
            </w:r>
          </w:p>
        </w:tc>
      </w:tr>
      <w:tr w:rsidR="00D00BD2" w:rsidRPr="00141E13" w14:paraId="16DDC3CC" w14:textId="77777777" w:rsidTr="00847554">
        <w:trPr>
          <w:trHeight w:val="576"/>
        </w:trPr>
        <w:tc>
          <w:tcPr>
            <w:tcW w:w="4968" w:type="dxa"/>
            <w:vAlign w:val="center"/>
          </w:tcPr>
          <w:p w14:paraId="1D4AA39E" w14:textId="77777777" w:rsidR="00D00BD2" w:rsidRPr="00141E13" w:rsidRDefault="00D00BD2" w:rsidP="00847554">
            <w:r w:rsidRPr="00141E13">
              <w:t>Approved By:</w:t>
            </w:r>
          </w:p>
        </w:tc>
        <w:tc>
          <w:tcPr>
            <w:tcW w:w="4608" w:type="dxa"/>
            <w:vAlign w:val="center"/>
          </w:tcPr>
          <w:p w14:paraId="5373A715" w14:textId="77777777" w:rsidR="00D00BD2" w:rsidRPr="00141E13" w:rsidRDefault="00D00BD2" w:rsidP="00847554">
            <w:r w:rsidRPr="00141E13">
              <w:t xml:space="preserve">Revision Date: </w:t>
            </w:r>
          </w:p>
        </w:tc>
      </w:tr>
      <w:tr w:rsidR="00D00BD2" w:rsidRPr="00141E13" w14:paraId="7159347A" w14:textId="77777777" w:rsidTr="00847554">
        <w:trPr>
          <w:trHeight w:val="576"/>
        </w:trPr>
        <w:tc>
          <w:tcPr>
            <w:tcW w:w="4968" w:type="dxa"/>
            <w:vAlign w:val="center"/>
          </w:tcPr>
          <w:p w14:paraId="54AD238D" w14:textId="77777777" w:rsidR="00D00BD2" w:rsidRPr="00141E13" w:rsidRDefault="00D00BD2" w:rsidP="00847554">
            <w:r w:rsidRPr="00141E13">
              <w:t>Approval Date:</w:t>
            </w:r>
          </w:p>
        </w:tc>
        <w:tc>
          <w:tcPr>
            <w:tcW w:w="4608" w:type="dxa"/>
            <w:vAlign w:val="center"/>
          </w:tcPr>
          <w:p w14:paraId="1139CC24" w14:textId="708019B6" w:rsidR="00D00BD2" w:rsidRPr="00141E13" w:rsidRDefault="00141E13" w:rsidP="003A7E1D">
            <w:r w:rsidRPr="00141E13">
              <w:t>Number of Forms: [2</w:t>
            </w:r>
            <w:r w:rsidR="00D00BD2" w:rsidRPr="00141E13">
              <w:t>], [</w:t>
            </w:r>
            <w:r w:rsidRPr="00141E13">
              <w:t xml:space="preserve">AMA </w:t>
            </w:r>
            <w:r w:rsidR="00F33CBC">
              <w:t>F</w:t>
            </w:r>
            <w:r w:rsidR="00F33CBC" w:rsidRPr="00141E13">
              <w:t>orm</w:t>
            </w:r>
            <w:r w:rsidRPr="00141E13">
              <w:t xml:space="preserve">, </w:t>
            </w:r>
            <w:r w:rsidR="00F33CBC">
              <w:t xml:space="preserve">AMA </w:t>
            </w:r>
            <w:r w:rsidRPr="00141E13">
              <w:t>Physician Documentation Checklist</w:t>
            </w:r>
            <w:r w:rsidR="00D00BD2" w:rsidRPr="00141E13">
              <w:t>]</w:t>
            </w:r>
          </w:p>
        </w:tc>
      </w:tr>
    </w:tbl>
    <w:p w14:paraId="063F1D64" w14:textId="77777777" w:rsidR="00141E13" w:rsidRDefault="00141E13" w:rsidP="00141E13">
      <w:pPr>
        <w:rPr>
          <w:b/>
        </w:rPr>
      </w:pPr>
    </w:p>
    <w:p w14:paraId="63752730" w14:textId="77777777" w:rsidR="00432317" w:rsidRDefault="00432317" w:rsidP="0068074C">
      <w:pPr>
        <w:rPr>
          <w:b/>
          <w:szCs w:val="24"/>
        </w:rPr>
      </w:pPr>
    </w:p>
    <w:p w14:paraId="0A95DA51" w14:textId="45204AF9" w:rsidR="00330BFD" w:rsidRDefault="00D00BD2" w:rsidP="0068074C">
      <w:pPr>
        <w:rPr>
          <w:szCs w:val="24"/>
        </w:rPr>
      </w:pPr>
      <w:r w:rsidRPr="00986763">
        <w:rPr>
          <w:b/>
          <w:szCs w:val="24"/>
        </w:rPr>
        <w:t>Guideline Statement:</w:t>
      </w:r>
      <w:r w:rsidRPr="00986763">
        <w:rPr>
          <w:szCs w:val="24"/>
        </w:rPr>
        <w:t xml:space="preserve"> </w:t>
      </w:r>
      <w:r w:rsidR="008E5DFD" w:rsidRPr="00986763">
        <w:rPr>
          <w:szCs w:val="24"/>
        </w:rPr>
        <w:t xml:space="preserve">Patients </w:t>
      </w:r>
      <w:r w:rsidR="0068074C" w:rsidRPr="00986763">
        <w:rPr>
          <w:szCs w:val="24"/>
        </w:rPr>
        <w:t>have a right to refuse continued</w:t>
      </w:r>
      <w:r w:rsidR="008E5DFD" w:rsidRPr="00986763">
        <w:rPr>
          <w:szCs w:val="24"/>
        </w:rPr>
        <w:t xml:space="preserve"> hospital treatment and care. </w:t>
      </w:r>
      <w:r w:rsidR="00CB4F9F" w:rsidRPr="00986763">
        <w:rPr>
          <w:szCs w:val="24"/>
        </w:rPr>
        <w:t>Medical and patient</w:t>
      </w:r>
      <w:r w:rsidR="00330BFD">
        <w:rPr>
          <w:szCs w:val="24"/>
        </w:rPr>
        <w:t>-</w:t>
      </w:r>
      <w:r w:rsidR="00CB4F9F" w:rsidRPr="00986763">
        <w:rPr>
          <w:szCs w:val="24"/>
        </w:rPr>
        <w:t xml:space="preserve">care staff members </w:t>
      </w:r>
      <w:r w:rsidR="00330BFD">
        <w:rPr>
          <w:szCs w:val="24"/>
        </w:rPr>
        <w:t xml:space="preserve">may advocate for the </w:t>
      </w:r>
      <w:r w:rsidR="00CB4F9F" w:rsidRPr="00986763">
        <w:rPr>
          <w:szCs w:val="24"/>
        </w:rPr>
        <w:t>patient</w:t>
      </w:r>
      <w:r w:rsidR="008E5DFD" w:rsidRPr="00986763">
        <w:rPr>
          <w:szCs w:val="24"/>
        </w:rPr>
        <w:t xml:space="preserve"> </w:t>
      </w:r>
      <w:r w:rsidR="00330BFD">
        <w:rPr>
          <w:szCs w:val="24"/>
        </w:rPr>
        <w:t>by</w:t>
      </w:r>
      <w:r w:rsidR="008E5DFD" w:rsidRPr="00986763">
        <w:rPr>
          <w:szCs w:val="24"/>
        </w:rPr>
        <w:t xml:space="preserve"> attempt</w:t>
      </w:r>
      <w:r w:rsidR="00330BFD">
        <w:rPr>
          <w:szCs w:val="24"/>
        </w:rPr>
        <w:t>ing</w:t>
      </w:r>
      <w:r w:rsidR="00CB4F9F" w:rsidRPr="00986763">
        <w:rPr>
          <w:szCs w:val="24"/>
        </w:rPr>
        <w:t xml:space="preserve"> to determine</w:t>
      </w:r>
      <w:r w:rsidR="00330BFD">
        <w:rPr>
          <w:szCs w:val="24"/>
        </w:rPr>
        <w:t>:</w:t>
      </w:r>
    </w:p>
    <w:p w14:paraId="32307D7A" w14:textId="02E8FA2B" w:rsidR="00330BFD" w:rsidRDefault="00CB4F9F" w:rsidP="000D62BE">
      <w:pPr>
        <w:pStyle w:val="ListParagraph"/>
        <w:numPr>
          <w:ilvl w:val="0"/>
          <w:numId w:val="13"/>
        </w:numPr>
        <w:rPr>
          <w:szCs w:val="24"/>
        </w:rPr>
      </w:pPr>
      <w:r w:rsidRPr="00330BFD">
        <w:rPr>
          <w:szCs w:val="24"/>
        </w:rPr>
        <w:t>the reason</w:t>
      </w:r>
      <w:r w:rsidR="00AF06E9" w:rsidRPr="00330BFD">
        <w:rPr>
          <w:szCs w:val="24"/>
        </w:rPr>
        <w:t>(s)</w:t>
      </w:r>
      <w:r w:rsidRPr="00330BFD">
        <w:rPr>
          <w:szCs w:val="24"/>
        </w:rPr>
        <w:t xml:space="preserve"> </w:t>
      </w:r>
      <w:r w:rsidR="00AF06E9" w:rsidRPr="00330BFD">
        <w:rPr>
          <w:szCs w:val="24"/>
        </w:rPr>
        <w:t>why the patient wishes to leave</w:t>
      </w:r>
      <w:r w:rsidR="00330BFD">
        <w:rPr>
          <w:szCs w:val="24"/>
        </w:rPr>
        <w:t>;</w:t>
      </w:r>
      <w:r w:rsidRPr="00330BFD">
        <w:rPr>
          <w:szCs w:val="24"/>
        </w:rPr>
        <w:t xml:space="preserve"> and </w:t>
      </w:r>
    </w:p>
    <w:p w14:paraId="0AE37FEA" w14:textId="77777777" w:rsidR="00330BFD" w:rsidRDefault="00CB4F9F" w:rsidP="000D62BE">
      <w:pPr>
        <w:pStyle w:val="ListParagraph"/>
        <w:numPr>
          <w:ilvl w:val="0"/>
          <w:numId w:val="13"/>
        </w:numPr>
        <w:rPr>
          <w:szCs w:val="24"/>
        </w:rPr>
      </w:pPr>
      <w:r w:rsidRPr="00330BFD">
        <w:rPr>
          <w:szCs w:val="24"/>
        </w:rPr>
        <w:t>if t</w:t>
      </w:r>
      <w:r w:rsidR="008E5DFD" w:rsidRPr="00330BFD">
        <w:rPr>
          <w:szCs w:val="24"/>
        </w:rPr>
        <w:t>he patient is aware of the possibility of a worsening condition</w:t>
      </w:r>
      <w:r w:rsidR="00AF06E9" w:rsidRPr="00330BFD">
        <w:rPr>
          <w:szCs w:val="24"/>
        </w:rPr>
        <w:t xml:space="preserve">. </w:t>
      </w:r>
    </w:p>
    <w:p w14:paraId="66901162" w14:textId="77777777" w:rsidR="00330BFD" w:rsidRDefault="00330BFD" w:rsidP="00330BFD">
      <w:pPr>
        <w:rPr>
          <w:szCs w:val="24"/>
        </w:rPr>
      </w:pPr>
    </w:p>
    <w:p w14:paraId="3E573C8D" w14:textId="17073703" w:rsidR="008E5DFD" w:rsidRPr="000D62BE" w:rsidRDefault="00E54205" w:rsidP="00330BFD">
      <w:pPr>
        <w:rPr>
          <w:szCs w:val="24"/>
        </w:rPr>
      </w:pPr>
      <w:r w:rsidRPr="00330BFD">
        <w:rPr>
          <w:szCs w:val="24"/>
        </w:rPr>
        <w:t>Whe</w:t>
      </w:r>
      <w:r w:rsidR="00D6624F" w:rsidRPr="00330BFD">
        <w:rPr>
          <w:szCs w:val="24"/>
        </w:rPr>
        <w:t xml:space="preserve">n the </w:t>
      </w:r>
      <w:r w:rsidRPr="00330BFD">
        <w:rPr>
          <w:szCs w:val="24"/>
        </w:rPr>
        <w:t xml:space="preserve">patient </w:t>
      </w:r>
      <w:r w:rsidR="00330BFD">
        <w:rPr>
          <w:szCs w:val="24"/>
        </w:rPr>
        <w:t>asks</w:t>
      </w:r>
      <w:r w:rsidRPr="00330BFD">
        <w:rPr>
          <w:szCs w:val="24"/>
        </w:rPr>
        <w:t xml:space="preserve"> to leave against medical advice (</w:t>
      </w:r>
      <w:r w:rsidR="00736C60" w:rsidRPr="00330BFD">
        <w:rPr>
          <w:szCs w:val="24"/>
        </w:rPr>
        <w:t xml:space="preserve">AMA), </w:t>
      </w:r>
      <w:r w:rsidR="0088022B" w:rsidRPr="00330BFD">
        <w:rPr>
          <w:szCs w:val="24"/>
        </w:rPr>
        <w:t xml:space="preserve">hospital staff </w:t>
      </w:r>
      <w:r w:rsidR="00330BFD">
        <w:rPr>
          <w:szCs w:val="24"/>
        </w:rPr>
        <w:t>may</w:t>
      </w:r>
      <w:r w:rsidR="00736C60" w:rsidRPr="00330BFD">
        <w:rPr>
          <w:szCs w:val="24"/>
        </w:rPr>
        <w:t xml:space="preserve"> communicate the risks of leaving, follow hospital guidelines that will</w:t>
      </w:r>
      <w:r w:rsidR="00736C60" w:rsidRPr="00590202">
        <w:rPr>
          <w:szCs w:val="24"/>
        </w:rPr>
        <w:t xml:space="preserve"> honor the patient’s request</w:t>
      </w:r>
      <w:r w:rsidR="00D6624F" w:rsidRPr="00590202">
        <w:rPr>
          <w:szCs w:val="24"/>
        </w:rPr>
        <w:t>,</w:t>
      </w:r>
      <w:r w:rsidR="00736C60" w:rsidRPr="004F7BDC">
        <w:rPr>
          <w:szCs w:val="24"/>
        </w:rPr>
        <w:t xml:space="preserve"> and obtain the </w:t>
      </w:r>
      <w:r w:rsidR="00517FDB" w:rsidRPr="004F7BDC">
        <w:rPr>
          <w:szCs w:val="24"/>
        </w:rPr>
        <w:t xml:space="preserve">discharge </w:t>
      </w:r>
      <w:r w:rsidR="00847554" w:rsidRPr="000D62BE">
        <w:rPr>
          <w:szCs w:val="24"/>
        </w:rPr>
        <w:t>AMA form.</w:t>
      </w:r>
    </w:p>
    <w:p w14:paraId="33BAC20B" w14:textId="77777777" w:rsidR="00847554" w:rsidRPr="00847554" w:rsidRDefault="00847554" w:rsidP="00847554"/>
    <w:p w14:paraId="1EB2EB27" w14:textId="2991E471" w:rsidR="00E54205" w:rsidRPr="00986763" w:rsidRDefault="008253E2" w:rsidP="00E54205">
      <w:pPr>
        <w:rPr>
          <w:szCs w:val="24"/>
        </w:rPr>
      </w:pPr>
      <w:r w:rsidRPr="00986763">
        <w:rPr>
          <w:b/>
          <w:szCs w:val="24"/>
        </w:rPr>
        <w:t xml:space="preserve">Scope of </w:t>
      </w:r>
      <w:r w:rsidR="00492717" w:rsidRPr="00986763">
        <w:rPr>
          <w:b/>
          <w:szCs w:val="24"/>
        </w:rPr>
        <w:t>Guideline</w:t>
      </w:r>
      <w:r w:rsidR="00D00BD2" w:rsidRPr="00986763">
        <w:rPr>
          <w:b/>
          <w:szCs w:val="24"/>
        </w:rPr>
        <w:t>:</w:t>
      </w:r>
      <w:r w:rsidR="00D00BD2" w:rsidRPr="00986763">
        <w:rPr>
          <w:szCs w:val="24"/>
        </w:rPr>
        <w:t xml:space="preserve"> </w:t>
      </w:r>
      <w:r w:rsidRPr="00986763">
        <w:rPr>
          <w:szCs w:val="24"/>
        </w:rPr>
        <w:t>This guideline a</w:t>
      </w:r>
      <w:r w:rsidR="00492717" w:rsidRPr="00986763">
        <w:rPr>
          <w:szCs w:val="24"/>
        </w:rPr>
        <w:t>pplies</w:t>
      </w:r>
      <w:r w:rsidR="00E54205" w:rsidRPr="00986763">
        <w:rPr>
          <w:szCs w:val="24"/>
        </w:rPr>
        <w:t xml:space="preserve"> to </w:t>
      </w:r>
      <w:r w:rsidR="00330BFD">
        <w:rPr>
          <w:szCs w:val="24"/>
        </w:rPr>
        <w:t xml:space="preserve">both </w:t>
      </w:r>
      <w:r w:rsidR="00E54205" w:rsidRPr="00986763">
        <w:rPr>
          <w:szCs w:val="24"/>
        </w:rPr>
        <w:t>patients admitted to the Emergency Department for treatment and/or patients admitted to the hospital</w:t>
      </w:r>
      <w:r w:rsidR="00330BFD">
        <w:rPr>
          <w:szCs w:val="24"/>
        </w:rPr>
        <w:t>; these patients</w:t>
      </w:r>
      <w:r w:rsidR="00E54205" w:rsidRPr="00986763">
        <w:rPr>
          <w:szCs w:val="24"/>
        </w:rPr>
        <w:t xml:space="preserve"> being treated </w:t>
      </w:r>
      <w:r w:rsidR="00330BFD">
        <w:rPr>
          <w:szCs w:val="24"/>
        </w:rPr>
        <w:t>may</w:t>
      </w:r>
      <w:r w:rsidR="00E54205" w:rsidRPr="00986763">
        <w:rPr>
          <w:szCs w:val="24"/>
        </w:rPr>
        <w:t xml:space="preserve"> </w:t>
      </w:r>
      <w:r w:rsidR="00330BFD">
        <w:rPr>
          <w:szCs w:val="24"/>
        </w:rPr>
        <w:t>ask</w:t>
      </w:r>
      <w:r w:rsidR="00E54205" w:rsidRPr="00986763">
        <w:rPr>
          <w:szCs w:val="24"/>
        </w:rPr>
        <w:t xml:space="preserve"> to leave the hospital against medical advice.</w:t>
      </w:r>
    </w:p>
    <w:p w14:paraId="50F3F1C3" w14:textId="77777777" w:rsidR="00847554" w:rsidRPr="00847554" w:rsidRDefault="00847554" w:rsidP="00847554"/>
    <w:p w14:paraId="55143740" w14:textId="77777777" w:rsidR="00710682" w:rsidRDefault="0032717C" w:rsidP="00710682">
      <w:pPr>
        <w:rPr>
          <w:szCs w:val="24"/>
        </w:rPr>
      </w:pPr>
      <w:r w:rsidRPr="00986763">
        <w:rPr>
          <w:b/>
          <w:szCs w:val="24"/>
        </w:rPr>
        <w:t>Guidelines</w:t>
      </w:r>
      <w:r w:rsidRPr="00986763">
        <w:rPr>
          <w:szCs w:val="24"/>
        </w:rPr>
        <w:t xml:space="preserve">: </w:t>
      </w:r>
    </w:p>
    <w:p w14:paraId="4DB70AB3" w14:textId="2A38A16D" w:rsidR="00710682" w:rsidRDefault="00620024" w:rsidP="00710682">
      <w:pPr>
        <w:pStyle w:val="ListParagraph"/>
        <w:numPr>
          <w:ilvl w:val="0"/>
          <w:numId w:val="12"/>
        </w:numPr>
        <w:spacing w:after="120"/>
      </w:pPr>
      <w:r w:rsidRPr="00847554">
        <w:t xml:space="preserve">Once the patient </w:t>
      </w:r>
      <w:r w:rsidR="00330BFD">
        <w:t>asks</w:t>
      </w:r>
      <w:r w:rsidRPr="00847554">
        <w:t xml:space="preserve"> to leave the hospital prior to the completion of care/treatment, the attending nurse notif</w:t>
      </w:r>
      <w:r w:rsidR="00330BFD">
        <w:t>ies</w:t>
      </w:r>
      <w:r w:rsidRPr="00847554">
        <w:t xml:space="preserve"> the attending physician of the patient’s desire to leave. </w:t>
      </w:r>
    </w:p>
    <w:p w14:paraId="73063341" w14:textId="77777777" w:rsidR="00710682" w:rsidRPr="00847554" w:rsidRDefault="00710682" w:rsidP="00710682">
      <w:pPr>
        <w:numPr>
          <w:ilvl w:val="0"/>
          <w:numId w:val="12"/>
        </w:numPr>
        <w:spacing w:after="120"/>
      </w:pPr>
      <w:r w:rsidRPr="00847554">
        <w:t xml:space="preserve">Decisional capacity (the capacity to understand and make an informed decision about their medical care) must be determined and documented. </w:t>
      </w:r>
    </w:p>
    <w:p w14:paraId="4FE9286B" w14:textId="5B47B5EA" w:rsidR="00710682" w:rsidRPr="00847554" w:rsidRDefault="00710682" w:rsidP="00710682">
      <w:pPr>
        <w:numPr>
          <w:ilvl w:val="0"/>
          <w:numId w:val="12"/>
        </w:numPr>
        <w:spacing w:after="120"/>
      </w:pPr>
      <w:r w:rsidRPr="00847554">
        <w:t xml:space="preserve">The patient who appears to have decisional capacity </w:t>
      </w:r>
      <w:r w:rsidR="00330BFD">
        <w:t>is</w:t>
      </w:r>
      <w:r w:rsidRPr="00847554">
        <w:t xml:space="preserve"> given information about the risks, benefits, and alternatives of refusing further care or treatment.</w:t>
      </w:r>
    </w:p>
    <w:p w14:paraId="25A2D65B" w14:textId="691AB37D" w:rsidR="00710682" w:rsidRPr="00847554" w:rsidRDefault="00710682" w:rsidP="00710682">
      <w:pPr>
        <w:numPr>
          <w:ilvl w:val="0"/>
          <w:numId w:val="12"/>
        </w:numPr>
        <w:spacing w:after="120"/>
      </w:pPr>
      <w:r w:rsidRPr="00847554">
        <w:t xml:space="preserve">The patient who appears to lack decisional capacity may be a danger to self or others; appropriate intervention by </w:t>
      </w:r>
      <w:r>
        <w:t>behavioral healthcare</w:t>
      </w:r>
      <w:r w:rsidRPr="00847554">
        <w:t xml:space="preserve"> staff to determine the level of care may be necessary to detain the patient from leaving the hospital.</w:t>
      </w:r>
    </w:p>
    <w:p w14:paraId="55927C16" w14:textId="7099E019" w:rsidR="00620024" w:rsidRPr="00847554" w:rsidRDefault="00620024" w:rsidP="00553CC3">
      <w:pPr>
        <w:numPr>
          <w:ilvl w:val="0"/>
          <w:numId w:val="12"/>
        </w:numPr>
        <w:spacing w:after="120"/>
      </w:pPr>
      <w:r w:rsidRPr="00847554">
        <w:t>The physician/designee explain</w:t>
      </w:r>
      <w:r w:rsidR="00330BFD">
        <w:t>s</w:t>
      </w:r>
      <w:r w:rsidRPr="00847554">
        <w:t xml:space="preserve"> the potential diagnosis, recommended treatment/procedure(s), alternatives</w:t>
      </w:r>
      <w:r w:rsidR="00AA2761" w:rsidRPr="00847554">
        <w:t xml:space="preserve"> to treatment, expected benefit</w:t>
      </w:r>
      <w:r w:rsidRPr="00847554">
        <w:t xml:space="preserve">(s) of treatment, and the potential risk of no treatment(s) </w:t>
      </w:r>
      <w:r w:rsidR="00330BFD">
        <w:t>to</w:t>
      </w:r>
      <w:r w:rsidRPr="00847554">
        <w:t xml:space="preserve"> the patient or patient representative.</w:t>
      </w:r>
    </w:p>
    <w:p w14:paraId="5DAF6381" w14:textId="0AEBB163" w:rsidR="00DA155F" w:rsidRPr="00847554" w:rsidRDefault="00DA155F" w:rsidP="00553CC3">
      <w:pPr>
        <w:numPr>
          <w:ilvl w:val="0"/>
          <w:numId w:val="12"/>
        </w:numPr>
        <w:spacing w:after="120"/>
      </w:pPr>
      <w:r w:rsidRPr="00847554">
        <w:t xml:space="preserve">If the patient continues to insist on </w:t>
      </w:r>
      <w:r w:rsidR="00175499" w:rsidRPr="00847554">
        <w:t>leaving, the</w:t>
      </w:r>
      <w:r w:rsidRPr="00847554">
        <w:t xml:space="preserve"> discharge AMA form </w:t>
      </w:r>
      <w:r w:rsidR="003C0D48">
        <w:t>is</w:t>
      </w:r>
      <w:r w:rsidRPr="00847554">
        <w:t xml:space="preserve"> reviewed and signed by the physician or designee</w:t>
      </w:r>
      <w:r w:rsidR="003C0D48">
        <w:t xml:space="preserve"> along with</w:t>
      </w:r>
      <w:r w:rsidRPr="00847554">
        <w:t xml:space="preserve"> the patient and/or patient representative </w:t>
      </w:r>
      <w:r w:rsidR="003C0D48">
        <w:t xml:space="preserve">(to include </w:t>
      </w:r>
      <w:r w:rsidRPr="00847554">
        <w:t xml:space="preserve">date, </w:t>
      </w:r>
      <w:r w:rsidR="00686825" w:rsidRPr="00847554">
        <w:t>time, and witness</w:t>
      </w:r>
      <w:r w:rsidR="003C0D48">
        <w:t>)</w:t>
      </w:r>
      <w:r w:rsidRPr="00847554">
        <w:t>.</w:t>
      </w:r>
    </w:p>
    <w:p w14:paraId="206D4D82" w14:textId="77777777" w:rsidR="00432317" w:rsidRDefault="00432317" w:rsidP="000D62BE">
      <w:pPr>
        <w:spacing w:after="120"/>
        <w:ind w:left="720"/>
      </w:pPr>
    </w:p>
    <w:p w14:paraId="57E3CFB9" w14:textId="77777777" w:rsidR="00432317" w:rsidRDefault="00432317" w:rsidP="000D62BE">
      <w:pPr>
        <w:spacing w:after="120"/>
        <w:ind w:left="720"/>
      </w:pPr>
    </w:p>
    <w:p w14:paraId="70B31467" w14:textId="77777777" w:rsidR="00432317" w:rsidRDefault="00432317" w:rsidP="000D62BE">
      <w:pPr>
        <w:spacing w:after="120"/>
        <w:ind w:left="720"/>
      </w:pPr>
    </w:p>
    <w:p w14:paraId="420B95E4" w14:textId="31A16614" w:rsidR="00432317" w:rsidRDefault="00432317" w:rsidP="000D62BE">
      <w:pPr>
        <w:spacing w:after="120"/>
      </w:pPr>
      <w:r>
        <w:lastRenderedPageBreak/>
        <w:t>AMA Guideline</w:t>
      </w:r>
      <w:r w:rsidR="00A32235">
        <w:t>, continued</w:t>
      </w:r>
    </w:p>
    <w:p w14:paraId="4090C32C" w14:textId="77777777" w:rsidR="00432317" w:rsidRDefault="00432317" w:rsidP="000D62BE">
      <w:pPr>
        <w:spacing w:after="120"/>
      </w:pPr>
    </w:p>
    <w:p w14:paraId="70100676" w14:textId="7DAC25E7" w:rsidR="00620024" w:rsidRPr="00847554" w:rsidRDefault="003C0D48" w:rsidP="00553CC3">
      <w:pPr>
        <w:numPr>
          <w:ilvl w:val="0"/>
          <w:numId w:val="12"/>
        </w:numPr>
        <w:spacing w:after="120"/>
      </w:pPr>
      <w:r>
        <w:t>Provide d</w:t>
      </w:r>
      <w:r w:rsidR="00DA155F" w:rsidRPr="00847554">
        <w:t>ischarge instructions to the patient for follow-up care. Unless the patient refuses,</w:t>
      </w:r>
      <w:r w:rsidR="00620024" w:rsidRPr="00847554">
        <w:t xml:space="preserve"> the patient should sign the discharge instructions.</w:t>
      </w:r>
      <w:r w:rsidR="004F7BDC">
        <w:t xml:space="preserve"> </w:t>
      </w:r>
      <w:r w:rsidR="00DA155F" w:rsidRPr="00847554">
        <w:t>If the patient leaves without signing the AM</w:t>
      </w:r>
      <w:r w:rsidR="00620024" w:rsidRPr="00847554">
        <w:t xml:space="preserve">A </w:t>
      </w:r>
      <w:r w:rsidR="00FE6EE4">
        <w:t xml:space="preserve">discharge </w:t>
      </w:r>
      <w:r w:rsidR="00620024" w:rsidRPr="00847554">
        <w:t>form, document</w:t>
      </w:r>
      <w:r w:rsidR="00580D78">
        <w:t xml:space="preserve"> this</w:t>
      </w:r>
      <w:r w:rsidR="00DA155F" w:rsidRPr="00847554">
        <w:t xml:space="preserve"> on the </w:t>
      </w:r>
      <w:r w:rsidR="00FE6EE4">
        <w:t xml:space="preserve">form </w:t>
      </w:r>
      <w:r>
        <w:t xml:space="preserve">and </w:t>
      </w:r>
      <w:r w:rsidR="00FE6EE4">
        <w:t>place</w:t>
      </w:r>
      <w:r>
        <w:t xml:space="preserve"> the form</w:t>
      </w:r>
      <w:r w:rsidR="00FE6EE4">
        <w:t xml:space="preserve"> </w:t>
      </w:r>
      <w:r w:rsidR="00DA155F" w:rsidRPr="00847554">
        <w:t xml:space="preserve">in the medical record. </w:t>
      </w:r>
    </w:p>
    <w:p w14:paraId="31D4DC3F" w14:textId="3DE5E3C2" w:rsidR="00B41F7E" w:rsidRPr="00847554" w:rsidRDefault="003C0D48" w:rsidP="000D62BE">
      <w:pPr>
        <w:numPr>
          <w:ilvl w:val="0"/>
          <w:numId w:val="12"/>
        </w:numPr>
      </w:pPr>
      <w:r>
        <w:t>Notify t</w:t>
      </w:r>
      <w:r w:rsidR="00DA155F" w:rsidRPr="00847554">
        <w:t xml:space="preserve">he attending physician that the patient refused to sign the </w:t>
      </w:r>
      <w:r w:rsidR="000465FF" w:rsidRPr="00847554">
        <w:t xml:space="preserve">discharge </w:t>
      </w:r>
      <w:r w:rsidR="00DA155F" w:rsidRPr="00847554">
        <w:t>AMA form. Discharge instructions may be mailed to the patient’s home as indicated.</w:t>
      </w:r>
    </w:p>
    <w:p w14:paraId="4E122EA2" w14:textId="77777777" w:rsidR="00847554" w:rsidRPr="00847554" w:rsidRDefault="00847554" w:rsidP="00847554"/>
    <w:p w14:paraId="0770DB1D" w14:textId="3716591A" w:rsidR="00300240" w:rsidRPr="00986763" w:rsidRDefault="00B41F7E" w:rsidP="00847554">
      <w:pPr>
        <w:rPr>
          <w:szCs w:val="24"/>
        </w:rPr>
      </w:pPr>
      <w:r w:rsidRPr="00986763">
        <w:rPr>
          <w:b/>
          <w:szCs w:val="24"/>
        </w:rPr>
        <w:t>Document</w:t>
      </w:r>
      <w:r w:rsidR="00300240">
        <w:rPr>
          <w:b/>
          <w:szCs w:val="24"/>
        </w:rPr>
        <w:t>:</w:t>
      </w:r>
    </w:p>
    <w:p w14:paraId="059A2ABA" w14:textId="12217935" w:rsidR="00B41F7E" w:rsidRPr="00847554" w:rsidRDefault="00561969" w:rsidP="00553CC3">
      <w:pPr>
        <w:numPr>
          <w:ilvl w:val="0"/>
          <w:numId w:val="12"/>
        </w:numPr>
        <w:spacing w:after="120"/>
      </w:pPr>
      <w:r>
        <w:t>A</w:t>
      </w:r>
      <w:r w:rsidR="001E003A" w:rsidRPr="00847554">
        <w:t xml:space="preserve">ssessment of </w:t>
      </w:r>
      <w:r w:rsidR="00B41F7E" w:rsidRPr="00847554">
        <w:t>the</w:t>
      </w:r>
      <w:r>
        <w:t xml:space="preserve"> patient’s</w:t>
      </w:r>
      <w:r w:rsidR="00B41F7E" w:rsidRPr="00847554">
        <w:t xml:space="preserve"> dec</w:t>
      </w:r>
      <w:r w:rsidR="00300240">
        <w:t>isional capacity.</w:t>
      </w:r>
    </w:p>
    <w:p w14:paraId="0665C757" w14:textId="2D8A1620" w:rsidR="00B41F7E" w:rsidRPr="00847554" w:rsidRDefault="00B41F7E" w:rsidP="00553CC3">
      <w:pPr>
        <w:numPr>
          <w:ilvl w:val="0"/>
          <w:numId w:val="12"/>
        </w:numPr>
        <w:spacing w:after="120"/>
      </w:pPr>
      <w:r w:rsidRPr="00847554">
        <w:t>Discussion</w:t>
      </w:r>
      <w:r w:rsidR="00EB1EC4">
        <w:t>(</w:t>
      </w:r>
      <w:r w:rsidRPr="00847554">
        <w:t>s</w:t>
      </w:r>
      <w:r w:rsidR="00EB1EC4">
        <w:t>)</w:t>
      </w:r>
      <w:r w:rsidRPr="00847554">
        <w:t xml:space="preserve"> with the patient regarding the severity of </w:t>
      </w:r>
      <w:r w:rsidR="00EB1EC4">
        <w:t xml:space="preserve">his/her </w:t>
      </w:r>
      <w:r w:rsidRPr="00847554">
        <w:t>illness and the potent</w:t>
      </w:r>
      <w:r w:rsidR="00300240">
        <w:t>ial consequences of leaving AMA.</w:t>
      </w:r>
    </w:p>
    <w:p w14:paraId="099CF6B4" w14:textId="20B19486" w:rsidR="00B41F7E" w:rsidRPr="00847554" w:rsidRDefault="00B41F7E" w:rsidP="00553CC3">
      <w:pPr>
        <w:numPr>
          <w:ilvl w:val="0"/>
          <w:numId w:val="12"/>
        </w:numPr>
        <w:spacing w:after="120"/>
      </w:pPr>
      <w:r w:rsidRPr="00847554">
        <w:t>Discussion</w:t>
      </w:r>
      <w:r w:rsidR="00EB1EC4">
        <w:t>(</w:t>
      </w:r>
      <w:r w:rsidRPr="00847554">
        <w:t>s</w:t>
      </w:r>
      <w:r w:rsidR="00EB1EC4">
        <w:t>)</w:t>
      </w:r>
      <w:r w:rsidR="009F651C">
        <w:t xml:space="preserve"> </w:t>
      </w:r>
      <w:r w:rsidRPr="00847554">
        <w:t>of scenarios that would prompt immediate return to the emergency department</w:t>
      </w:r>
      <w:r w:rsidR="00927C89" w:rsidRPr="00847554">
        <w:t xml:space="preserve"> and </w:t>
      </w:r>
      <w:r w:rsidR="003C0D48">
        <w:t xml:space="preserve">that </w:t>
      </w:r>
      <w:r w:rsidR="00927C89" w:rsidRPr="00847554">
        <w:t xml:space="preserve">the </w:t>
      </w:r>
      <w:r w:rsidRPr="00847554">
        <w:t>patient may ret</w:t>
      </w:r>
      <w:r w:rsidR="00300240">
        <w:t>urn to the hospital at any time.</w:t>
      </w:r>
    </w:p>
    <w:p w14:paraId="65B0FD4D" w14:textId="029131DA" w:rsidR="00B41F7E" w:rsidRPr="00847554" w:rsidRDefault="00B41F7E" w:rsidP="00553CC3">
      <w:pPr>
        <w:numPr>
          <w:ilvl w:val="0"/>
          <w:numId w:val="12"/>
        </w:numPr>
        <w:spacing w:after="120"/>
      </w:pPr>
      <w:r w:rsidRPr="00847554">
        <w:t>Conversation</w:t>
      </w:r>
      <w:r w:rsidR="009F651C">
        <w:t>(</w:t>
      </w:r>
      <w:r w:rsidRPr="00847554">
        <w:t>s</w:t>
      </w:r>
      <w:r w:rsidR="009F651C">
        <w:t>)</w:t>
      </w:r>
      <w:r w:rsidRPr="00847554">
        <w:t xml:space="preserve"> including the events related to the patient’s departure, condition</w:t>
      </w:r>
      <w:r w:rsidR="00AB3C9E" w:rsidRPr="00847554">
        <w:t>(s)</w:t>
      </w:r>
      <w:r w:rsidRPr="00847554">
        <w:t xml:space="preserve"> upon leaving the hospital</w:t>
      </w:r>
      <w:r w:rsidR="00300240">
        <w:t>, and disposition of belongings.</w:t>
      </w:r>
    </w:p>
    <w:p w14:paraId="51F26FBA" w14:textId="2DF24B1F" w:rsidR="00B41F7E" w:rsidRPr="00847554" w:rsidRDefault="00B41F7E" w:rsidP="00553CC3">
      <w:pPr>
        <w:numPr>
          <w:ilvl w:val="0"/>
          <w:numId w:val="12"/>
        </w:numPr>
        <w:spacing w:after="120"/>
      </w:pPr>
      <w:r w:rsidRPr="00847554">
        <w:t>All arrangements made for a follow-up phone call, home care, or outpat</w:t>
      </w:r>
      <w:r w:rsidR="00300240">
        <w:t>ient appointment (as indicated).</w:t>
      </w:r>
    </w:p>
    <w:p w14:paraId="5CB51CF8" w14:textId="36FA7221" w:rsidR="00B41F7E" w:rsidRPr="00847554" w:rsidRDefault="00B41F7E" w:rsidP="00553CC3">
      <w:pPr>
        <w:numPr>
          <w:ilvl w:val="0"/>
          <w:numId w:val="12"/>
        </w:numPr>
        <w:spacing w:after="120"/>
      </w:pPr>
      <w:r w:rsidRPr="00847554">
        <w:t>Follow-up instructions</w:t>
      </w:r>
      <w:r w:rsidR="00F753DF">
        <w:t xml:space="preserve"> given</w:t>
      </w:r>
      <w:r w:rsidR="003C0D48">
        <w:t>,</w:t>
      </w:r>
      <w:r w:rsidRPr="00847554">
        <w:t xml:space="preserve"> including pr</w:t>
      </w:r>
      <w:r w:rsidR="00300240">
        <w:t>escriptions for new medications.</w:t>
      </w:r>
    </w:p>
    <w:p w14:paraId="2B252D3D" w14:textId="40F91B61" w:rsidR="00B41F7E" w:rsidRPr="00847554" w:rsidRDefault="00B41F7E" w:rsidP="00553CC3">
      <w:pPr>
        <w:numPr>
          <w:ilvl w:val="0"/>
          <w:numId w:val="12"/>
        </w:numPr>
        <w:spacing w:after="120"/>
      </w:pPr>
      <w:r w:rsidRPr="00847554">
        <w:t xml:space="preserve">Treatment options </w:t>
      </w:r>
      <w:r w:rsidR="00F753DF">
        <w:t xml:space="preserve">discussed </w:t>
      </w:r>
      <w:r w:rsidRPr="00847554">
        <w:t>and the risks associated with no</w:t>
      </w:r>
      <w:r w:rsidR="00300240">
        <w:t>t adhering to treatment.</w:t>
      </w:r>
    </w:p>
    <w:p w14:paraId="4C453A27" w14:textId="628DFBF1" w:rsidR="00B41F7E" w:rsidRDefault="00B41F7E" w:rsidP="00923373">
      <w:pPr>
        <w:numPr>
          <w:ilvl w:val="0"/>
          <w:numId w:val="12"/>
        </w:numPr>
        <w:spacing w:after="120"/>
      </w:pPr>
      <w:r w:rsidRPr="00847554">
        <w:t xml:space="preserve">Communication with the patient’s primary care physician regarding discharge AMA and </w:t>
      </w:r>
      <w:r w:rsidR="00A25C40" w:rsidRPr="00847554">
        <w:t>follow-up</w:t>
      </w:r>
      <w:r w:rsidR="00300240">
        <w:t xml:space="preserve"> plans</w:t>
      </w:r>
      <w:r w:rsidR="003C0D48">
        <w:t>,</w:t>
      </w:r>
      <w:r w:rsidR="00300240">
        <w:t xml:space="preserve"> as appropriate.</w:t>
      </w:r>
    </w:p>
    <w:p w14:paraId="76C5A39E" w14:textId="77777777" w:rsidR="00561969" w:rsidRDefault="00561969" w:rsidP="000D62BE">
      <w:pPr>
        <w:spacing w:after="120"/>
        <w:ind w:left="720"/>
      </w:pPr>
    </w:p>
    <w:p w14:paraId="1722ECC5" w14:textId="5DBD46CA" w:rsidR="00561969" w:rsidRPr="00847554" w:rsidRDefault="00561969" w:rsidP="000D62BE">
      <w:pPr>
        <w:spacing w:after="120"/>
      </w:pPr>
    </w:p>
    <w:sectPr w:rsidR="00561969" w:rsidRPr="00847554" w:rsidSect="004F7BD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2D45" w14:textId="77777777" w:rsidR="00313FBA" w:rsidRDefault="00313FBA" w:rsidP="00D00BD2">
      <w:r>
        <w:separator/>
      </w:r>
    </w:p>
  </w:endnote>
  <w:endnote w:type="continuationSeparator" w:id="0">
    <w:p w14:paraId="32FA8560" w14:textId="77777777" w:rsidR="00313FBA" w:rsidRDefault="00313FBA" w:rsidP="00D0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467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8119B" w14:textId="5C2A7990" w:rsidR="000D3005" w:rsidRDefault="000D30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8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9E30C3" w14:textId="77777777" w:rsidR="009B136F" w:rsidRDefault="009B1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32FC" w14:textId="7E04B5F9" w:rsidR="00F33CBC" w:rsidRPr="00F33CBC" w:rsidRDefault="00F33CBC">
    <w:pPr>
      <w:pStyle w:val="Footer"/>
      <w:rPr>
        <w:sz w:val="20"/>
      </w:rPr>
    </w:pPr>
    <w:r w:rsidRPr="00F33CBC">
      <w:rPr>
        <w:sz w:val="20"/>
      </w:rPr>
      <w:t>Revised 8/2/11</w:t>
    </w:r>
    <w:r w:rsidR="00052DD9">
      <w:rPr>
        <w:sz w:val="20"/>
      </w:rPr>
      <w:t>, 06/26/2015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DD1D" w14:textId="77777777" w:rsidR="00313FBA" w:rsidRDefault="00313FBA" w:rsidP="00D00BD2">
      <w:r>
        <w:separator/>
      </w:r>
    </w:p>
  </w:footnote>
  <w:footnote w:type="continuationSeparator" w:id="0">
    <w:p w14:paraId="1AD4C560" w14:textId="77777777" w:rsidR="00313FBA" w:rsidRDefault="00313FBA" w:rsidP="00D0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A1DD" w14:textId="326355AE" w:rsidR="00432317" w:rsidRPr="000D62BE" w:rsidRDefault="00432317" w:rsidP="00847554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BF10" w14:textId="1F07E587" w:rsidR="00847554" w:rsidRDefault="00000000" w:rsidP="00847554">
    <w:pPr>
      <w:rPr>
        <w:sz w:val="20"/>
      </w:rPr>
    </w:pPr>
    <w:r>
      <w:rPr>
        <w:noProof/>
        <w:sz w:val="22"/>
      </w:rPr>
      <w:pict w14:anchorId="47960D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98345" o:spid="_x0000_s1026" type="#_x0000_t136" style="position:absolute;margin-left:0;margin-top:0;width:513.2pt;height:146.6pt;rotation:315;z-index:-251658752;mso-position-horizontal:center;mso-position-horizontal-relative:margin;mso-position-vertical:center;mso-position-vertical-relative:margin" o:allowincell="f" fillcolor="#bfbfbf" stroked="f">
          <v:fill opacity=".5"/>
          <v:textpath style="font-family:&quot;Times New Roman&quot;;font-size:1pt" string="Sample"/>
          <w10:wrap anchorx="margin" anchory="margin"/>
        </v:shape>
      </w:pict>
    </w:r>
    <w:r w:rsidR="00847554" w:rsidRPr="00141E13">
      <w:rPr>
        <w:sz w:val="20"/>
      </w:rPr>
      <w:t xml:space="preserve">This sample </w:t>
    </w:r>
    <w:r w:rsidR="00E13986">
      <w:rPr>
        <w:sz w:val="20"/>
      </w:rPr>
      <w:t>form</w:t>
    </w:r>
    <w:r w:rsidR="004B4372">
      <w:rPr>
        <w:sz w:val="20"/>
      </w:rPr>
      <w:t xml:space="preserve"> </w:t>
    </w:r>
    <w:r w:rsidR="00847554" w:rsidRPr="00141E13">
      <w:rPr>
        <w:sz w:val="20"/>
      </w:rPr>
      <w:t xml:space="preserve">will assist you in creating a unique </w:t>
    </w:r>
    <w:r w:rsidR="00E13986">
      <w:rPr>
        <w:sz w:val="20"/>
      </w:rPr>
      <w:t>form</w:t>
    </w:r>
    <w:r w:rsidR="004B4372" w:rsidRPr="00141E13">
      <w:rPr>
        <w:sz w:val="20"/>
      </w:rPr>
      <w:t xml:space="preserve"> </w:t>
    </w:r>
    <w:r w:rsidR="00847554" w:rsidRPr="00141E13">
      <w:rPr>
        <w:sz w:val="20"/>
      </w:rPr>
      <w:t>for your</w:t>
    </w:r>
    <w:r w:rsidR="00847554">
      <w:rPr>
        <w:sz w:val="20"/>
      </w:rPr>
      <w:t xml:space="preserve"> hospital. </w:t>
    </w:r>
    <w:r w:rsidR="00847554" w:rsidRPr="00141E13">
      <w:rPr>
        <w:sz w:val="20"/>
      </w:rPr>
      <w:t xml:space="preserve">This sample </w:t>
    </w:r>
    <w:r w:rsidR="00E13986">
      <w:rPr>
        <w:sz w:val="20"/>
      </w:rPr>
      <w:t>form</w:t>
    </w:r>
    <w:r w:rsidR="004B4372" w:rsidRPr="00141E13">
      <w:rPr>
        <w:sz w:val="20"/>
      </w:rPr>
      <w:t xml:space="preserve"> </w:t>
    </w:r>
    <w:r w:rsidR="00847554" w:rsidRPr="00141E13">
      <w:rPr>
        <w:sz w:val="20"/>
      </w:rPr>
      <w:t>is in a general format that does not account for varying state laws. Consult your state law to ensure compliance with any state-specific rules and regulations.</w:t>
    </w:r>
  </w:p>
  <w:p w14:paraId="018E855C" w14:textId="77777777" w:rsidR="00847554" w:rsidRDefault="00847554" w:rsidP="00847554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6E5"/>
    <w:multiLevelType w:val="hybridMultilevel"/>
    <w:tmpl w:val="B9E05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5325F"/>
    <w:multiLevelType w:val="hybridMultilevel"/>
    <w:tmpl w:val="45B6A6DE"/>
    <w:lvl w:ilvl="0" w:tplc="46CEA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1ACD"/>
    <w:multiLevelType w:val="hybridMultilevel"/>
    <w:tmpl w:val="921017BE"/>
    <w:lvl w:ilvl="0" w:tplc="A05C82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7D88"/>
    <w:multiLevelType w:val="hybridMultilevel"/>
    <w:tmpl w:val="A964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299E"/>
    <w:multiLevelType w:val="hybridMultilevel"/>
    <w:tmpl w:val="B192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B1A4B"/>
    <w:multiLevelType w:val="hybridMultilevel"/>
    <w:tmpl w:val="8EF2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23C46"/>
    <w:multiLevelType w:val="hybridMultilevel"/>
    <w:tmpl w:val="EADED262"/>
    <w:lvl w:ilvl="0" w:tplc="EFF4231A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3962186C"/>
    <w:multiLevelType w:val="hybridMultilevel"/>
    <w:tmpl w:val="16CCF9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7B80F8F"/>
    <w:multiLevelType w:val="hybridMultilevel"/>
    <w:tmpl w:val="D9FC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31281"/>
    <w:multiLevelType w:val="hybridMultilevel"/>
    <w:tmpl w:val="0A5A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64B39"/>
    <w:multiLevelType w:val="hybridMultilevel"/>
    <w:tmpl w:val="CAA6EBE6"/>
    <w:lvl w:ilvl="0" w:tplc="855C99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47528D"/>
    <w:multiLevelType w:val="hybridMultilevel"/>
    <w:tmpl w:val="16F8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40261"/>
    <w:multiLevelType w:val="hybridMultilevel"/>
    <w:tmpl w:val="C2280DA0"/>
    <w:lvl w:ilvl="0" w:tplc="46CEA57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524440776">
    <w:abstractNumId w:val="12"/>
  </w:num>
  <w:num w:numId="2" w16cid:durableId="93132326">
    <w:abstractNumId w:val="1"/>
  </w:num>
  <w:num w:numId="3" w16cid:durableId="1580480053">
    <w:abstractNumId w:val="10"/>
  </w:num>
  <w:num w:numId="4" w16cid:durableId="116878544">
    <w:abstractNumId w:val="6"/>
  </w:num>
  <w:num w:numId="5" w16cid:durableId="598563300">
    <w:abstractNumId w:val="3"/>
  </w:num>
  <w:num w:numId="6" w16cid:durableId="1161309120">
    <w:abstractNumId w:val="8"/>
  </w:num>
  <w:num w:numId="7" w16cid:durableId="803884863">
    <w:abstractNumId w:val="9"/>
  </w:num>
  <w:num w:numId="8" w16cid:durableId="203562564">
    <w:abstractNumId w:val="5"/>
  </w:num>
  <w:num w:numId="9" w16cid:durableId="394738208">
    <w:abstractNumId w:val="2"/>
  </w:num>
  <w:num w:numId="10" w16cid:durableId="182207139">
    <w:abstractNumId w:val="4"/>
  </w:num>
  <w:num w:numId="11" w16cid:durableId="2014644135">
    <w:abstractNumId w:val="0"/>
  </w:num>
  <w:num w:numId="12" w16cid:durableId="1949584738">
    <w:abstractNumId w:val="11"/>
  </w:num>
  <w:num w:numId="13" w16cid:durableId="780539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F7"/>
    <w:rsid w:val="000020F7"/>
    <w:rsid w:val="000153AE"/>
    <w:rsid w:val="000465FF"/>
    <w:rsid w:val="00052DD9"/>
    <w:rsid w:val="000624F4"/>
    <w:rsid w:val="00096B4A"/>
    <w:rsid w:val="000A2878"/>
    <w:rsid w:val="000A582B"/>
    <w:rsid w:val="000C6DE0"/>
    <w:rsid w:val="000D3005"/>
    <w:rsid w:val="000D62BE"/>
    <w:rsid w:val="00117AD5"/>
    <w:rsid w:val="00141E13"/>
    <w:rsid w:val="00156C34"/>
    <w:rsid w:val="00175499"/>
    <w:rsid w:val="001E003A"/>
    <w:rsid w:val="0020277A"/>
    <w:rsid w:val="00282087"/>
    <w:rsid w:val="0029349E"/>
    <w:rsid w:val="002F3C72"/>
    <w:rsid w:val="00300240"/>
    <w:rsid w:val="00313FBA"/>
    <w:rsid w:val="00316518"/>
    <w:rsid w:val="0032717C"/>
    <w:rsid w:val="00330BFD"/>
    <w:rsid w:val="003727A6"/>
    <w:rsid w:val="003A7E1D"/>
    <w:rsid w:val="003C0D48"/>
    <w:rsid w:val="003C1378"/>
    <w:rsid w:val="003C5E79"/>
    <w:rsid w:val="003D5FA2"/>
    <w:rsid w:val="00426F97"/>
    <w:rsid w:val="00432317"/>
    <w:rsid w:val="00434F10"/>
    <w:rsid w:val="00442B42"/>
    <w:rsid w:val="00452F27"/>
    <w:rsid w:val="00455FCA"/>
    <w:rsid w:val="00470438"/>
    <w:rsid w:val="00487907"/>
    <w:rsid w:val="00492717"/>
    <w:rsid w:val="004B4372"/>
    <w:rsid w:val="004F7BDC"/>
    <w:rsid w:val="00517FDB"/>
    <w:rsid w:val="00534A98"/>
    <w:rsid w:val="00553CC3"/>
    <w:rsid w:val="00561969"/>
    <w:rsid w:val="00580D78"/>
    <w:rsid w:val="00590202"/>
    <w:rsid w:val="005963E3"/>
    <w:rsid w:val="005B5E71"/>
    <w:rsid w:val="005B606A"/>
    <w:rsid w:val="005C25F6"/>
    <w:rsid w:val="00620024"/>
    <w:rsid w:val="0068074C"/>
    <w:rsid w:val="00686825"/>
    <w:rsid w:val="00710682"/>
    <w:rsid w:val="007216D3"/>
    <w:rsid w:val="00722212"/>
    <w:rsid w:val="00735612"/>
    <w:rsid w:val="00736C60"/>
    <w:rsid w:val="007477B8"/>
    <w:rsid w:val="00764CB6"/>
    <w:rsid w:val="007A4640"/>
    <w:rsid w:val="007E51C0"/>
    <w:rsid w:val="007F5A1D"/>
    <w:rsid w:val="008253E2"/>
    <w:rsid w:val="008376CB"/>
    <w:rsid w:val="00847554"/>
    <w:rsid w:val="0088022B"/>
    <w:rsid w:val="008802BD"/>
    <w:rsid w:val="008E5DFD"/>
    <w:rsid w:val="00923373"/>
    <w:rsid w:val="0092612E"/>
    <w:rsid w:val="00927C89"/>
    <w:rsid w:val="00935584"/>
    <w:rsid w:val="009417EC"/>
    <w:rsid w:val="00986763"/>
    <w:rsid w:val="00995339"/>
    <w:rsid w:val="009B136F"/>
    <w:rsid w:val="009B4818"/>
    <w:rsid w:val="009F651C"/>
    <w:rsid w:val="00A1314A"/>
    <w:rsid w:val="00A25C40"/>
    <w:rsid w:val="00A268B5"/>
    <w:rsid w:val="00A32235"/>
    <w:rsid w:val="00A63A79"/>
    <w:rsid w:val="00A8502C"/>
    <w:rsid w:val="00AA2761"/>
    <w:rsid w:val="00AB3C9E"/>
    <w:rsid w:val="00AC4250"/>
    <w:rsid w:val="00AF06E9"/>
    <w:rsid w:val="00AF2F6C"/>
    <w:rsid w:val="00B41F7E"/>
    <w:rsid w:val="00B54860"/>
    <w:rsid w:val="00BC088E"/>
    <w:rsid w:val="00C0107A"/>
    <w:rsid w:val="00C22D1F"/>
    <w:rsid w:val="00CB4F9F"/>
    <w:rsid w:val="00CC61FC"/>
    <w:rsid w:val="00CD4254"/>
    <w:rsid w:val="00D00BD2"/>
    <w:rsid w:val="00D10D73"/>
    <w:rsid w:val="00D6624F"/>
    <w:rsid w:val="00D76595"/>
    <w:rsid w:val="00D77C49"/>
    <w:rsid w:val="00DA155F"/>
    <w:rsid w:val="00DB384F"/>
    <w:rsid w:val="00DC7176"/>
    <w:rsid w:val="00E01268"/>
    <w:rsid w:val="00E070BC"/>
    <w:rsid w:val="00E13986"/>
    <w:rsid w:val="00E23CAE"/>
    <w:rsid w:val="00E4078D"/>
    <w:rsid w:val="00E42791"/>
    <w:rsid w:val="00E4330A"/>
    <w:rsid w:val="00E54205"/>
    <w:rsid w:val="00E732D1"/>
    <w:rsid w:val="00E838D4"/>
    <w:rsid w:val="00EB1EC4"/>
    <w:rsid w:val="00EC09B6"/>
    <w:rsid w:val="00EE67B2"/>
    <w:rsid w:val="00EE6D0C"/>
    <w:rsid w:val="00F05F28"/>
    <w:rsid w:val="00F30DD3"/>
    <w:rsid w:val="00F33CBC"/>
    <w:rsid w:val="00F41BB8"/>
    <w:rsid w:val="00F522F2"/>
    <w:rsid w:val="00F753DF"/>
    <w:rsid w:val="00FD55EC"/>
    <w:rsid w:val="00FE3B2F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5F930"/>
  <w15:docId w15:val="{F2B49E26-AE88-4478-8FEB-43FD477E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F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BD2"/>
  </w:style>
  <w:style w:type="paragraph" w:styleId="Footer">
    <w:name w:val="footer"/>
    <w:basedOn w:val="Normal"/>
    <w:link w:val="FooterChar"/>
    <w:uiPriority w:val="99"/>
    <w:unhideWhenUsed/>
    <w:rsid w:val="00D00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BD2"/>
  </w:style>
  <w:style w:type="paragraph" w:styleId="BalloonText">
    <w:name w:val="Balloon Text"/>
    <w:basedOn w:val="Normal"/>
    <w:link w:val="BalloonTextChar"/>
    <w:uiPriority w:val="99"/>
    <w:semiHidden/>
    <w:unhideWhenUsed/>
    <w:rsid w:val="00D00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682"/>
    <w:pPr>
      <w:ind w:left="720"/>
      <w:contextualSpacing/>
    </w:pPr>
  </w:style>
  <w:style w:type="paragraph" w:styleId="Revision">
    <w:name w:val="Revision"/>
    <w:hidden/>
    <w:uiPriority w:val="99"/>
    <w:semiHidden/>
    <w:rsid w:val="009417EC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4F91B4A7CED4C9D75D914E2BC2475" ma:contentTypeVersion="1" ma:contentTypeDescription="Create a new document." ma:contentTypeScope="" ma:versionID="699402682639c0dc6b43ecc469dbf6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36da769de9cf91708fe6361a527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C33EF-3DC7-4034-AE4F-5E2AEAA94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91CB9-3C0A-4AEF-B207-A676B39F0B0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EEBABF6-A946-4E22-AAD5-EA2962FA7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tmallars</dc:creator>
  <cp:lastModifiedBy>Kurzynowski, Bethany</cp:lastModifiedBy>
  <cp:revision>2</cp:revision>
  <cp:lastPrinted>2015-06-26T19:04:00Z</cp:lastPrinted>
  <dcterms:created xsi:type="dcterms:W3CDTF">2024-02-01T16:51:00Z</dcterms:created>
  <dcterms:modified xsi:type="dcterms:W3CDTF">2024-02-01T16:51:00Z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0x010100F544F91B4A7CED4C9D75D914E2BC2475</vt:lpwstr>
  </property>
  <property fmtid="{D5CDD505-2E9C-101B-9397-08002B2CF9AE}" pid="3" name="_AdHocReviewCycleID">
    <vt:i4>1910255537</vt:i4>
  </property>
  <property fmtid="{D5CDD505-2E9C-101B-9397-08002B2CF9AE}" pid="4" name="_NewReviewCycle">
    <vt:lpwstr/>
  </property>
  <property fmtid="{D5CDD505-2E9C-101B-9397-08002B2CF9AE}" pid="5" name="_EmailSubject">
    <vt:lpwstr>Sample forms for review and approval - M2643</vt:lpwstr>
  </property>
  <property fmtid="{D5CDD505-2E9C-101B-9397-08002B2CF9AE}" pid="6" name="_AuthorEmail">
    <vt:lpwstr>mmaxbauer@proassurance.com</vt:lpwstr>
  </property>
  <property fmtid="{D5CDD505-2E9C-101B-9397-08002B2CF9AE}" pid="7" name="_AuthorEmailDisplayName">
    <vt:lpwstr>Maxbauer, Marge</vt:lpwstr>
  </property>
  <property fmtid="{D5CDD505-2E9C-101B-9397-08002B2CF9AE}" pid="8" name="_PreviousAdHocReviewCycleID">
    <vt:i4>322772558</vt:i4>
  </property>
  <property fmtid="{D5CDD505-2E9C-101B-9397-08002B2CF9AE}" pid="9" name="_ReviewingToolsShownOnce">
    <vt:lpwstr/>
  </property>
</Properties>
</file>